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5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dgm="http://schemas.openxmlformats.org/drawingml/2006/diagram" xmlns:lc="http://schemas.openxmlformats.org/drawingml/2006/lockedCanvas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mo="http://schemas.microsoft.com/office/mac/office/2008/main" xmlns:mv="urn:schemas-microsoft-com:mac:vml" mc:Ignorable="w14 w15 w16se w16cid w16 w16cex w16sdtdh w16sdtfl w16du wp14">
  <w:body>
    <w:p w14:paraId="00000001">
      <w:pPr>
        <w:pStyle w:val="Title"/>
        <w:keepNext w:val="0"/>
        <w:keepLines/>
        <w:spacing w:after="0" w:before="0"/>
      </w:pPr>
      <w:r>
        <w:rPr>
          <w:b/>
          <w:szCs w:val="50"/>
        </w:rPr>
        <w:t>XINRAN FANG</w:t>
      </w:r>
    </w:p>
    <w:p w14:paraId="00000002">
      <w:pPr>
        <w:pStyle w:val="Subtitle"/>
        <w:keepNext w:val="0"/>
        <w:keepLines/>
        <w:spacing w:after="100" w:before="0"/>
      </w:pPr>
      <w:r>
        <w:rPr>
          <w:b w:val="0"/>
        </w:rPr>
        <w:t>Service &amp; Experience Designer</w:t>
      </w:r>
    </w:p>
    <w:p w14:paraId="00000003">
      <w:pPr>
        <w:keepNext w:val="0"/>
        <w:keepLines/>
        <w:spacing w:after="60" w:before="0"/>
      </w:pPr>
      <w:r>
        <w:rPr>
          <w:b w:val="0"/>
          <w:sz w:val="18"/>
          <w:szCs w:val="18"/>
        </w:rPr>
        <w:t xml:space="preserve">Edinburgh, UK  |  +44 7344406883  |  xinran08282002@gmail.com  |  LinkedIn: </w:t>
      </w:r>
      <w:hyperlink w:history="1" r:id="rId10">
        <w:r>
          <w:rPr>
            <w:rStyle w:val="Hyperlink"/>
            <w:szCs w:val="21"/>
          </w:rPr>
          <w:t>Xinran Fang | LinkedIn</w:t>
        </w:r>
      </w:hyperlink>
    </w:p>
    <w:p w14:paraId="00000004">
      <w:pPr>
        <w:pStyle w:val="Heading1"/>
        <w:keepNext/>
        <w:keepLines/>
        <w:spacing w:after="120" w:before="360"/>
      </w:pPr>
      <w:r>
        <w:rPr>
          <w:b/>
          <w:szCs w:val="24"/>
        </w:rPr>
        <w:t>PROFILE</w:t>
      </w:r>
    </w:p>
    <w:p w14:paraId="00000005">
      <w:pPr>
        <w:keepLines/>
        <w:spacing w:after="40"/>
      </w:pPr>
      <w:r>
        <w:rPr>
          <w:b w:val="0"/>
          <w:szCs w:val="21"/>
        </w:rPr>
        <w:t>Service and experience designer with a background in architecture and Design Informatics, using qualitative research, observation and prototyping to understand people within wider systems and translate insights into testable experiences. Experience spans AI product design, physical-digital interaction and cross-functional delivery.</w:t>
      </w:r>
    </w:p>
    <w:p w14:paraId="00000006">
      <w:pPr>
        <w:pStyle w:val="Heading1"/>
        <w:keepNext/>
        <w:keepLines/>
        <w:spacing w:after="120" w:before="360"/>
      </w:pPr>
      <w:r>
        <w:rPr>
          <w:b/>
          <w:szCs w:val="24"/>
        </w:rPr>
        <w:t>WORK EXPERIENCE</w:t>
      </w:r>
    </w:p>
    <w:p w14:paraId="00000007">
      <w:pPr>
        <w:pStyle w:val="Heading2"/>
        <w:keepNext/>
        <w:keepLines/>
        <w:tabs>
          <w:tab w:val="right" w:pos="10091"/>
        </w:tabs>
        <w:spacing w:after="20" w:before="180"/>
      </w:pPr>
      <w:r>
        <w:rPr>
          <w:b/>
          <w:szCs w:val="22"/>
        </w:rPr>
        <w:t>UI/UX Design Intern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Mar 2025 - Dec 2025</w:t>
      </w:r>
    </w:p>
    <w:p w14:paraId="00000008">
      <w:pPr>
        <w:keepNext/>
        <w:keepLines/>
        <w:spacing w:after="100" w:before="0"/>
      </w:pPr>
      <w:r>
        <w:rPr>
          <w:b w:val="0"/>
          <w:sz w:val="19"/>
          <w:szCs w:val="19"/>
        </w:rPr>
        <w:t>Shenzhen Chiri Technology Co., Ltd.</w:t>
      </w:r>
    </w:p>
    <w:p w14:paraId="00000009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Contributed to the 0-to-1 design of an AI-powered tarot web product, defining information architecture and core flows for a </w:t>
      </w:r>
      <w:r>
        <w:rPr>
          <w:b/>
          <w:szCs w:val="21"/>
        </w:rPr>
        <w:t>28-day MVP launch</w:t>
      </w:r>
      <w:r>
        <w:rPr>
          <w:b w:val="0"/>
          <w:szCs w:val="21"/>
        </w:rPr>
        <w:t xml:space="preserve"> and supporting </w:t>
      </w:r>
      <w:r>
        <w:rPr>
          <w:b/>
          <w:szCs w:val="21"/>
        </w:rPr>
        <w:t>10+ post-launch iterations</w:t>
      </w:r>
      <w:r>
        <w:rPr>
          <w:b w:val="0"/>
          <w:szCs w:val="21"/>
        </w:rPr>
        <w:t>.</w:t>
      </w:r>
    </w:p>
    <w:p w14:paraId="0000000A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Conducted interviews and usability sessions with </w:t>
      </w:r>
      <w:r>
        <w:rPr>
          <w:b/>
          <w:szCs w:val="21"/>
        </w:rPr>
        <w:t>50+ seed users</w:t>
      </w:r>
      <w:r>
        <w:rPr>
          <w:b w:val="0"/>
          <w:szCs w:val="21"/>
        </w:rPr>
        <w:t>; findings on guidance, interaction flows and visual consistency informed subsequent design priorities.</w:t>
      </w:r>
    </w:p>
    <w:p w14:paraId="0000000B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Redesigned the card-drawing flow, prompts and visual direction, increasing unassisted task completion from </w:t>
      </w:r>
      <w:r>
        <w:rPr>
          <w:b/>
          <w:szCs w:val="21"/>
        </w:rPr>
        <w:t>70% to 85%</w:t>
      </w:r>
      <w:r>
        <w:rPr>
          <w:b w:val="0"/>
          <w:szCs w:val="21"/>
        </w:rPr>
        <w:t xml:space="preserve">; </w:t>
      </w:r>
      <w:r>
        <w:rPr>
          <w:b w:val="0"/>
          <w:color w:val="000000"/>
          <w:szCs w:val="21"/>
        </w:rPr>
        <w:t>76% of surveyed users reported that the revised design provided a clearer and more immersive experience.</w:t>
      </w:r>
    </w:p>
    <w:p w14:paraId="0000000C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Collaborated with developers and the product manager from </w:t>
      </w:r>
      <w:r>
        <w:rPr>
          <w:b/>
          <w:szCs w:val="21"/>
        </w:rPr>
        <w:t>handoff to release</w:t>
      </w:r>
      <w:r>
        <w:rPr>
          <w:b w:val="0"/>
          <w:szCs w:val="21"/>
        </w:rPr>
        <w:t>, adapting designs to technical constraints and reviewing implemented interfaces through annotated issue reports.</w:t>
      </w:r>
    </w:p>
    <w:p w14:paraId="0000000D">
      <w:pPr>
        <w:pStyle w:val="Heading1"/>
        <w:keepNext/>
        <w:keepLines/>
        <w:spacing w:after="120" w:before="360"/>
      </w:pPr>
      <w:r>
        <w:rPr>
          <w:b/>
          <w:szCs w:val="24"/>
        </w:rPr>
        <w:t>SELECTED PROJECTS</w:t>
      </w:r>
    </w:p>
    <w:p w14:paraId="0000000E">
      <w:pPr>
        <w:pStyle w:val="Heading2"/>
        <w:keepNext/>
        <w:keepLines/>
        <w:tabs>
          <w:tab w:val="right" w:pos="10091"/>
        </w:tabs>
        <w:spacing w:after="20" w:before="180"/>
      </w:pPr>
      <w:r>
        <w:rPr>
          <w:b/>
          <w:szCs w:val="22"/>
        </w:rPr>
        <w:t>Visitor-Wildlife Time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2026</w:t>
      </w:r>
    </w:p>
    <w:p w14:paraId="0000000F">
      <w:pPr>
        <w:keepNext/>
        <w:keepLines/>
        <w:spacing w:after="100" w:before="0"/>
      </w:pPr>
      <w:r>
        <w:rPr>
          <w:b w:val="0"/>
          <w:sz w:val="19"/>
          <w:szCs w:val="19"/>
        </w:rPr>
        <w:t>Project Designer | Collaboration with Lindisfarne NNR</w:t>
      </w:r>
    </w:p>
    <w:p w14:paraId="00000010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Combined evidence from 2012-2025 Lindisfarne NNR records, on-site observation and reserve-manager consultations, identifying that </w:t>
      </w:r>
      <w:r>
        <w:rPr>
          <w:b/>
          <w:szCs w:val="21"/>
        </w:rPr>
        <w:t>static signage</w:t>
      </w:r>
      <w:r>
        <w:rPr>
          <w:b w:val="0"/>
          <w:szCs w:val="21"/>
        </w:rPr>
        <w:t xml:space="preserve"> could not explain changing habitat sensitivity across seasons and tides.</w:t>
      </w:r>
    </w:p>
    <w:p w14:paraId="00000011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Synthesised 4 seasonal phases and 4 tidal states into a </w:t>
      </w:r>
      <w:r>
        <w:rPr>
          <w:b/>
          <w:szCs w:val="21"/>
        </w:rPr>
        <w:t>16-scenario interpretation framework</w:t>
      </w:r>
      <w:r>
        <w:rPr>
          <w:b w:val="0"/>
          <w:szCs w:val="21"/>
        </w:rPr>
        <w:t>, organising guidance as Wildlife Now - Why It Matters - Guest Protocol to connect ecological conditions with appropriate visitor actions.</w:t>
      </w:r>
    </w:p>
    <w:p w14:paraId="00000012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Designed and iterated </w:t>
      </w:r>
      <w:r>
        <w:rPr>
          <w:b/>
          <w:szCs w:val="21"/>
        </w:rPr>
        <w:t>2 connected prototypes</w:t>
      </w:r>
      <w:r>
        <w:rPr>
          <w:b w:val="0"/>
          <w:szCs w:val="21"/>
        </w:rPr>
        <w:t>, the Clock-Wildlife Time Translator and Mudflat AR; reserve-manager feedback highlighted their usefulness in explaining changing ecological conditions.</w:t>
      </w:r>
    </w:p>
    <w:p w14:paraId="00000013">
      <w:pPr>
        <w:keepLines/>
        <w:tabs>
          <w:tab w:val="left" w:pos="198"/>
        </w:tabs>
        <w:spacing w:after="30"/>
        <w:ind w:hanging="198" w:left="198"/>
      </w:pPr>
      <w:r>
        <w:rPr>
          <w:color w:val="000000"/>
          <w:szCs w:val="21"/>
        </w:rPr>
        <w:t>•</w:t>
      </w:r>
      <w:r>
        <w:rPr>
          <w:color w:val="000000"/>
        </w:rPr>
        <w:tab/>
      </w:r>
      <w:r>
        <w:rPr>
          <w:b w:val="0"/>
          <w:color w:val="000000"/>
          <w:szCs w:val="21"/>
        </w:rPr>
        <w:t xml:space="preserve">Ran a small </w:t>
      </w:r>
      <w:r>
        <w:rPr>
          <w:b/>
          <w:color w:val="000000"/>
          <w:szCs w:val="21"/>
        </w:rPr>
        <w:t>beta test</w:t>
      </w:r>
      <w:r>
        <w:rPr>
          <w:b w:val="0"/>
          <w:color w:val="000000"/>
          <w:szCs w:val="21"/>
        </w:rPr>
        <w:t xml:space="preserve"> with 28 participants; 71.4% found the experience useful for understanding changing wildlife conditions, and 64.3% said the guidance made appropriate visitor actions clearer.</w:t>
      </w:r>
    </w:p>
    <w:p w14:paraId="00000014">
      <w:pPr>
        <w:pStyle w:val="Heading2"/>
        <w:keepNext/>
        <w:keepLines/>
        <w:tabs>
          <w:tab w:val="right" w:pos="10091"/>
        </w:tabs>
        <w:spacing w:after="20" w:before="180"/>
      </w:pPr>
      <w:r>
        <w:rPr>
          <w:b/>
          <w:szCs w:val="22"/>
        </w:rPr>
        <w:t>LOOK DOWN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Jan 2026 - Apr 2026</w:t>
      </w:r>
    </w:p>
    <w:p w14:paraId="00000015">
      <w:pPr>
        <w:keepNext/>
        <w:keepLines/>
        <w:spacing w:after="100" w:before="0"/>
      </w:pPr>
      <w:r>
        <w:rPr>
          <w:b w:val="0"/>
          <w:sz w:val="19"/>
          <w:szCs w:val="19"/>
        </w:rPr>
        <w:t>Interaction / Installation Designer</w:t>
      </w:r>
    </w:p>
    <w:p w14:paraId="00000016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Synthesised rainfall data and 8 soil variables across 9 global locations with field research at Salisbury Crags, reframing the brief from visible geology to </w:t>
      </w:r>
      <w:r>
        <w:rPr>
          <w:b/>
          <w:szCs w:val="21"/>
        </w:rPr>
        <w:t>underground microbial ecologies</w:t>
      </w:r>
      <w:r>
        <w:rPr>
          <w:b w:val="0"/>
          <w:szCs w:val="21"/>
        </w:rPr>
        <w:t xml:space="preserve"> and using rainfall and soil chemistry to guide the experience.</w:t>
      </w:r>
    </w:p>
    <w:p w14:paraId="00000017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Tested </w:t>
      </w:r>
      <w:r>
        <w:rPr>
          <w:b/>
          <w:szCs w:val="21"/>
        </w:rPr>
        <w:t>5 physical and visual directions</w:t>
      </w:r>
      <w:r>
        <w:rPr>
          <w:b w:val="0"/>
          <w:szCs w:val="21"/>
        </w:rPr>
        <w:t xml:space="preserve">; feedback revealed that multi-element concepts were difficult to interpret, prompting a </w:t>
      </w:r>
      <w:r>
        <w:rPr>
          <w:b/>
          <w:szCs w:val="21"/>
        </w:rPr>
        <w:t>single focal interaction</w:t>
      </w:r>
      <w:r>
        <w:rPr>
          <w:b w:val="0"/>
          <w:szCs w:val="21"/>
        </w:rPr>
        <w:t xml:space="preserve"> with clearer links between environmental data, movement and soil.</w:t>
      </w:r>
    </w:p>
    <w:p w14:paraId="00000018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Exhibited at InSpace in a showcase attended by </w:t>
      </w:r>
      <w:r>
        <w:rPr>
          <w:b/>
          <w:szCs w:val="21"/>
        </w:rPr>
        <w:t>400+ visitors</w:t>
      </w:r>
      <w:r>
        <w:rPr>
          <w:b w:val="0"/>
          <w:szCs w:val="21"/>
        </w:rPr>
        <w:t xml:space="preserve">; observation and feedback identified </w:t>
      </w:r>
      <w:r>
        <w:rPr>
          <w:b/>
          <w:szCs w:val="21"/>
        </w:rPr>
        <w:t>3 usability issues</w:t>
      </w:r>
      <w:r>
        <w:rPr>
          <w:b w:val="0"/>
          <w:szCs w:val="21"/>
        </w:rPr>
        <w:t xml:space="preserve"> around guidance, interaction expectations and spatial integration, defining priorities for the next iteration.</w:t>
      </w:r>
    </w:p>
    <w:p w14:paraId="0000001A">
      <w:pPr>
        <w:pStyle w:val="Heading2"/>
        <w:keepNext/>
        <w:keepLines/>
        <w:tabs>
          <w:tab w:val="right" w:pos="10091"/>
        </w:tabs>
        <w:spacing w:after="20" w:before="180"/>
      </w:pPr>
      <w:r>
        <w:rPr>
          <w:b/>
          <w:szCs w:val="22"/>
        </w:rPr>
        <w:t>Truth of Choice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Sept 2025 - Dec 2025</w:t>
      </w:r>
    </w:p>
    <w:p w14:paraId="0000001B">
      <w:pPr>
        <w:keepNext/>
        <w:keepLines/>
        <w:spacing w:after="100" w:before="0"/>
      </w:pPr>
      <w:r>
        <w:rPr>
          <w:b w:val="0"/>
          <w:sz w:val="19"/>
          <w:szCs w:val="19"/>
        </w:rPr>
        <w:t>Design Researcher | National Library of Scotland</w:t>
      </w:r>
    </w:p>
    <w:p w14:paraId="0000001C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Analysed the NLS's unstructured 19th-century broadsides, mapping witness accounts on a shared timeline and revealing how accounts of the same event varied with each witness's </w:t>
      </w:r>
      <w:r>
        <w:rPr>
          <w:b/>
          <w:szCs w:val="21"/>
        </w:rPr>
        <w:t>position, role and perspective</w:t>
      </w:r>
      <w:r>
        <w:rPr>
          <w:b w:val="0"/>
          <w:szCs w:val="21"/>
        </w:rPr>
        <w:t>.</w:t>
      </w:r>
    </w:p>
    <w:p w14:paraId="0000001D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Designed a </w:t>
      </w:r>
      <w:r>
        <w:rPr>
          <w:b/>
          <w:szCs w:val="21"/>
        </w:rPr>
        <w:t>3-stage Figma prototype</w:t>
      </w:r>
      <w:r>
        <w:rPr>
          <w:b w:val="0"/>
          <w:szCs w:val="21"/>
        </w:rPr>
        <w:t xml:space="preserve"> for investigation, curation and reflection using 8 witness perspectives, positioning users as editors who select testimony and shape the story; </w:t>
      </w:r>
      <w:r>
        <w:rPr>
          <w:b/>
          <w:szCs w:val="21"/>
        </w:rPr>
        <w:t>proposed an evidence-constrained AI generation flow</w:t>
      </w:r>
      <w:r>
        <w:rPr>
          <w:b w:val="0"/>
          <w:szCs w:val="21"/>
        </w:rPr>
        <w:t xml:space="preserve"> that limits narratives to selected historical accounts.</w:t>
      </w:r>
    </w:p>
    <w:p w14:paraId="0000001E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Presented the concept to </w:t>
      </w:r>
      <w:r>
        <w:rPr>
          <w:b/>
          <w:szCs w:val="21"/>
        </w:rPr>
        <w:t>NLS experts</w:t>
      </w:r>
      <w:r>
        <w:rPr>
          <w:b w:val="0"/>
          <w:szCs w:val="21"/>
        </w:rPr>
        <w:t>, who highlighted the gamified experience and transparent use of AI as strengths and expressed interest in further game applications.</w:t>
      </w:r>
    </w:p>
    <w:p w14:paraId="0000001F">
      <w:pPr>
        <w:pStyle w:val="Heading2"/>
        <w:keepNext/>
        <w:keepLines/>
        <w:tabs>
          <w:tab w:val="right" w:pos="10091"/>
        </w:tabs>
        <w:spacing w:after="20" w:before="180"/>
      </w:pPr>
      <w:r>
        <w:rPr>
          <w:b/>
          <w:szCs w:val="22"/>
        </w:rPr>
        <w:t>Expandable Emergency Healthcare System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Jul 2021 - Oct 2021</w:t>
      </w:r>
    </w:p>
    <w:p w14:paraId="00000020">
      <w:pPr>
        <w:keepNext/>
        <w:keepLines/>
        <w:spacing w:after="100" w:before="0"/>
      </w:pPr>
      <w:r>
        <w:rPr>
          <w:b w:val="0"/>
          <w:sz w:val="19"/>
          <w:szCs w:val="19"/>
        </w:rPr>
        <w:t>Lead Designer</w:t>
      </w:r>
    </w:p>
    <w:p w14:paraId="00000021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Conducted </w:t>
      </w:r>
      <w:r>
        <w:rPr>
          <w:b/>
          <w:szCs w:val="21"/>
        </w:rPr>
        <w:t>30+ interviews</w:t>
      </w:r>
      <w:r>
        <w:rPr>
          <w:b w:val="0"/>
          <w:szCs w:val="21"/>
        </w:rPr>
        <w:t xml:space="preserve"> with healthcare workers, patients and emergency-response experts, identifying requirements for safe patient and staff flows, adaptable capacity and reuse beyond a single crisis alongside rapid deployment.</w:t>
      </w:r>
    </w:p>
    <w:p w14:paraId="00000022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Translated findings into </w:t>
      </w:r>
      <w:r>
        <w:rPr>
          <w:b/>
          <w:szCs w:val="21"/>
        </w:rPr>
        <w:t>3 design requirements</w:t>
      </w:r>
      <w:r>
        <w:rPr>
          <w:b w:val="0"/>
          <w:szCs w:val="21"/>
        </w:rPr>
        <w:t xml:space="preserve"> - rapid activation, flexible circulation and long-term reuse - shaping a modular healthcare system designed to expand to approximately </w:t>
      </w:r>
      <w:r>
        <w:rPr>
          <w:b/>
          <w:szCs w:val="21"/>
        </w:rPr>
        <w:t>6x its transport footprint</w:t>
      </w:r>
      <w:r>
        <w:rPr>
          <w:b w:val="0"/>
          <w:szCs w:val="21"/>
        </w:rPr>
        <w:t xml:space="preserve"> for emergency and community use.</w:t>
      </w:r>
    </w:p>
    <w:p w14:paraId="00000023">
      <w:pPr>
        <w:keepLines/>
        <w:tabs>
          <w:tab w:val="left" w:pos="198"/>
        </w:tabs>
        <w:spacing w:after="30"/>
        <w:ind w:hanging="198" w:left="198"/>
      </w:pPr>
      <w:r>
        <w:t>•</w:t>
      </w:r>
      <w:r>
        <w:tab/>
      </w:r>
      <w:r>
        <w:rPr>
          <w:b w:val="0"/>
          <w:szCs w:val="21"/>
        </w:rPr>
        <w:t xml:space="preserve">Contributed to a </w:t>
      </w:r>
      <w:r>
        <w:rPr>
          <w:b/>
          <w:szCs w:val="21"/>
        </w:rPr>
        <w:t>granted utility-model patent</w:t>
      </w:r>
      <w:r>
        <w:rPr>
          <w:b w:val="0"/>
          <w:szCs w:val="21"/>
        </w:rPr>
        <w:t xml:space="preserve"> (ZL 2021 2 3008408.8); the project won </w:t>
      </w:r>
      <w:r>
        <w:rPr>
          <w:b/>
          <w:szCs w:val="21"/>
        </w:rPr>
        <w:t>second place</w:t>
      </w:r>
      <w:r>
        <w:rPr>
          <w:b w:val="0"/>
          <w:szCs w:val="21"/>
        </w:rPr>
        <w:t xml:space="preserve"> in the </w:t>
      </w:r>
      <w:r>
        <w:rPr>
          <w:b w:val="0"/>
          <w:color w:val="000000"/>
          <w:szCs w:val="21"/>
        </w:rPr>
        <w:t>Intelligent Box House Innovation Design Competition</w:t>
      </w:r>
      <w:r>
        <w:rPr>
          <w:b w:val="0"/>
          <w:szCs w:val="21"/>
        </w:rPr>
        <w:t>.</w:t>
      </w:r>
    </w:p>
    <w:p w14:paraId="00000024">
      <w:pPr>
        <w:pStyle w:val="Heading1"/>
        <w:keepNext/>
        <w:keepLines/>
        <w:spacing w:after="120" w:before="360"/>
      </w:pPr>
      <w:r>
        <w:rPr>
          <w:b/>
          <w:szCs w:val="24"/>
        </w:rPr>
        <w:t>EDUCATION</w:t>
      </w:r>
    </w:p>
    <w:p w14:paraId="00000025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MA Design Informatics | University of Edinburgh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Expected Nov 2026</w:t>
      </w:r>
    </w:p>
    <w:p w14:paraId="00000026">
      <w:pPr>
        <w:keepNext w:val="0"/>
        <w:keepLines/>
        <w:spacing w:after="40" w:before="0"/>
      </w:pPr>
      <w:r>
        <w:rPr>
          <w:b w:val="0"/>
          <w:sz w:val="19"/>
          <w:szCs w:val="19"/>
        </w:rPr>
        <w:t>Edinburgh, UK</w:t>
      </w:r>
    </w:p>
    <w:p w14:paraId="00000027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Summer School Exchange | University of Edinburgh</w:t>
      </w:r>
      <w:r>
        <w:rPr>
          <w:b w:val="0"/>
        </w:rPr>
        <w:tab/>
      </w:r>
      <w:r>
        <w:rPr>
          <w:b w:val="0"/>
          <w:color w:val="000000"/>
          <w:sz w:val="19"/>
          <w:szCs w:val="19"/>
        </w:rPr>
        <w:t>Aug 2024</w:t>
      </w:r>
    </w:p>
    <w:p w14:paraId="00000028">
      <w:pPr>
        <w:keepLines/>
        <w:spacing w:after="40"/>
      </w:pPr>
      <w:r>
        <w:rPr>
          <w:b w:val="0"/>
          <w:color w:val="000000"/>
          <w:szCs w:val="21"/>
        </w:rPr>
        <w:t xml:space="preserve">Course title: International Business Communication in Intelligent Era| Grade: 97/100 </w:t>
      </w:r>
    </w:p>
    <w:p w14:paraId="00000029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Bachelor of Architecture | Nanjing Tech University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Jun 2025</w:t>
      </w:r>
    </w:p>
    <w:p w14:paraId="0000002A">
      <w:pPr>
        <w:keepLines/>
        <w:spacing w:after="40"/>
      </w:pPr>
      <w:r>
        <w:rPr>
          <w:b w:val="0"/>
          <w:szCs w:val="21"/>
        </w:rPr>
        <w:t>Nanjing, China | GPA 3.86/4.00  |  Rank 2/154  |  National Scholarship (top 0.2% nationally)</w:t>
      </w:r>
    </w:p>
    <w:p w14:paraId="0000002B">
      <w:pPr>
        <w:pStyle w:val="Heading1"/>
        <w:keepNext/>
        <w:keepLines/>
        <w:spacing w:after="120" w:before="360"/>
      </w:pPr>
      <w:r>
        <w:rPr>
          <w:b/>
          <w:szCs w:val="24"/>
        </w:rPr>
        <w:t>SKILLS</w:t>
      </w:r>
    </w:p>
    <w:p w14:paraId="0000002C">
      <w:pPr>
        <w:keepLines/>
        <w:spacing w:after="40"/>
      </w:pPr>
      <w:r>
        <w:rPr>
          <w:b/>
          <w:szCs w:val="21"/>
        </w:rPr>
        <w:t>Research:</w:t>
      </w:r>
      <w:r>
        <w:rPr>
          <w:b w:val="0"/>
          <w:szCs w:val="21"/>
        </w:rPr>
        <w:t xml:space="preserve"> Interviews, usability testing, desk research, field observation, stakeholder mapping, research synthesis</w:t>
      </w:r>
    </w:p>
    <w:p w14:paraId="0000002D">
      <w:pPr>
        <w:keepLines/>
        <w:spacing w:after="40"/>
      </w:pPr>
      <w:r>
        <w:rPr>
          <w:b/>
          <w:szCs w:val="21"/>
        </w:rPr>
        <w:t>Design:</w:t>
      </w:r>
      <w:r>
        <w:rPr>
          <w:b w:val="0"/>
          <w:szCs w:val="21"/>
        </w:rPr>
        <w:t xml:space="preserve"> Service and experience design, information architecture, interaction design, rapid prototyping, physical prototyping, data visualisation</w:t>
      </w:r>
    </w:p>
    <w:p w14:paraId="0000002E">
      <w:pPr>
        <w:keepLines/>
        <w:spacing w:after="40"/>
      </w:pPr>
      <w:r>
        <w:rPr>
          <w:b/>
          <w:color w:val="000000"/>
          <w:szCs w:val="21"/>
        </w:rPr>
        <w:t>Tools &amp; Tech:</w:t>
      </w:r>
      <w:r>
        <w:rPr>
          <w:b w:val="0"/>
          <w:color w:val="000000"/>
          <w:szCs w:val="21"/>
        </w:rPr>
        <w:t xml:space="preserve"> Figma, Adobe Creative Cloud, Rhino, SketchUp, CAD, D5 Render, Lumion, Enscape, hand sketching, Arduino, Python, HTML5</w:t>
      </w:r>
    </w:p>
    <w:p w14:paraId="0000002F">
      <w:pPr>
        <w:keepLines/>
        <w:spacing w:after="40"/>
      </w:pPr>
      <w:r>
        <w:rPr>
          <w:b/>
          <w:szCs w:val="21"/>
        </w:rPr>
        <w:t>Languages:</w:t>
      </w:r>
      <w:r>
        <w:rPr>
          <w:b w:val="0"/>
          <w:szCs w:val="21"/>
        </w:rPr>
        <w:t xml:space="preserve"> Mandarin Chinese (native); English (professional working proficiency; IELTS 7.0)</w:t>
      </w:r>
    </w:p>
    <w:p w14:paraId="00000030">
      <w:pPr>
        <w:pStyle w:val="Heading1"/>
        <w:keepNext/>
        <w:keepLines/>
        <w:spacing w:after="120" w:before="360"/>
      </w:pPr>
      <w:r>
        <w:rPr>
          <w:b/>
          <w:szCs w:val="24"/>
        </w:rPr>
        <w:t>ADDITIONAL EXPERIENCE</w:t>
      </w:r>
    </w:p>
    <w:p w14:paraId="00000031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Sales Assistant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Jul 2026 - Present</w:t>
      </w:r>
    </w:p>
    <w:p w14:paraId="00000032">
      <w:pPr>
        <w:keepLines/>
        <w:spacing w:after="40"/>
      </w:pPr>
      <w:r>
        <w:rPr>
          <w:b w:val="0"/>
          <w:szCs w:val="21"/>
        </w:rPr>
        <w:t>Edinburgh Tartan Weaving Mill Gift Shop, Edinburgh. Identify international customers' needs through direct conversation, adapting explanations and recommendations to different preferences and communication styles.</w:t>
      </w:r>
    </w:p>
    <w:p w14:paraId="00000033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Social Media &amp; Content Operations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Jul 2026 - Present</w:t>
      </w:r>
    </w:p>
    <w:p w14:paraId="00000034">
      <w:pPr>
        <w:keepLines/>
        <w:spacing w:after="40"/>
      </w:pPr>
      <w:r>
        <w:rPr>
          <w:b w:val="0"/>
          <w:szCs w:val="21"/>
        </w:rPr>
        <w:t>YGF Malatang, Edinburgh. Independently plan and produce audience-informed social-media content, translating the restaurant's food and in-store experience into clear visuals and copy.</w:t>
      </w:r>
    </w:p>
    <w:p w14:paraId="00000035">
      <w:pPr>
        <w:pStyle w:val="Heading2"/>
        <w:keepNext/>
        <w:keepLines/>
        <w:tabs>
          <w:tab w:val="right" w:pos="10091"/>
        </w:tabs>
        <w:spacing w:after="20" w:before="120"/>
      </w:pPr>
      <w:r>
        <w:rPr>
          <w:b/>
          <w:szCs w:val="22"/>
        </w:rPr>
        <w:t>Event Volunteer</w:t>
      </w:r>
      <w:r>
        <w:rPr>
          <w:b w:val="0"/>
          <w:sz w:val="19"/>
        </w:rPr>
        <w:tab/>
      </w:r>
      <w:r>
        <w:rPr>
          <w:b w:val="0"/>
          <w:sz w:val="19"/>
          <w:szCs w:val="19"/>
        </w:rPr>
        <w:t>Mar 2024</w:t>
      </w:r>
    </w:p>
    <w:p w14:paraId="00000036">
      <w:pPr>
        <w:keepLines/>
        <w:spacing w:after="40"/>
      </w:pPr>
      <w:r>
        <w:rPr>
          <w:b w:val="0"/>
          <w:color w:val="000000"/>
          <w:szCs w:val="21"/>
        </w:rPr>
        <w:t xml:space="preserve">Women's Epee World Cup, </w:t>
      </w:r>
      <w:r>
        <w:rPr>
          <w:b w:val="0"/>
          <w:szCs w:val="21"/>
        </w:rPr>
        <w:t>China. Supported the event's international broadcast and communicated with international referees, providing translation to help both activities run smoothly.</w:t>
      </w:r>
    </w:p>
    <w:p w14:paraId="00000037">
      <w:pPr>
        <w:pStyle w:val="Heading1"/>
        <w:keepNext/>
        <w:keepLines/>
        <w:spacing w:after="120" w:before="360"/>
      </w:pPr>
      <w:r>
        <w:rPr>
          <w:b/>
          <w:szCs w:val="24"/>
        </w:rPr>
        <w:t>SELECTED AWARDS</w:t>
      </w:r>
    </w:p>
    <w:p w14:paraId="00000038">
      <w:pPr>
        <w:keepLines/>
        <w:spacing w:after="40"/>
      </w:pPr>
      <w:r>
        <w:rPr>
          <w:b w:val="0"/>
          <w:szCs w:val="21"/>
        </w:rPr>
        <w:t xml:space="preserve">Bronze Award, </w:t>
      </w:r>
      <w:r>
        <w:rPr>
          <w:b w:val="0"/>
          <w:color w:val="000000"/>
          <w:szCs w:val="21"/>
        </w:rPr>
        <w:t>UNESCO Global Design Competition</w:t>
      </w:r>
      <w:r>
        <w:rPr>
          <w:b w:val="0"/>
          <w:szCs w:val="21"/>
        </w:rPr>
        <w:t xml:space="preserve"> | 3rd Prize, </w:t>
      </w:r>
      <w:r>
        <w:rPr>
          <w:b w:val="0"/>
          <w:color w:val="000000"/>
          <w:szCs w:val="21"/>
        </w:rPr>
        <w:t>BEDA British Eco Design Award</w:t>
      </w:r>
      <w:r>
        <w:rPr>
          <w:b w:val="0"/>
          <w:szCs w:val="21"/>
        </w:rPr>
        <w:t xml:space="preserve"> | 1st Prize, </w:t>
      </w:r>
      <w:r>
        <w:rPr>
          <w:b w:val="0"/>
          <w:color w:val="000000"/>
          <w:szCs w:val="21"/>
        </w:rPr>
        <w:t>National Youth Cup Art &amp; Design Competition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  <w:jc w:val="left"/>
    </w:pPr>
    <w:r>
      <w:rPr>
        <w:color w:val="000000"/>
        <w:sz w:val="16"/>
      </w:rPr>
      <w:t>XINRAN FANG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exact" w:after="6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/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  <w:tblStylePr w:type="nwCell">
      <w:tblPr/>
      <w:tcPr/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  <w:tblStylePr w:type="nwCell">
      <w:tblPr/>
      <w:tcPr/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  <w:tblStylePr w:type="nwCell">
      <w:tblPr/>
      <w:tcPr/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  <w:tblStylePr w:type="nwCell">
      <w:tblPr/>
      <w:tcPr/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  <w:tblStylePr w:type="nwCell">
      <w:tblPr/>
      <w:tcPr/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  <w:tblStylePr w:type="nwCell">
      <w:tblPr/>
      <w:tcPr/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  <w:tblStylePr w:type="nwCell">
      <w:tblPr/>
      <w:tcPr/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/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styleId="Hyperlink" w:type="character">
    <w:name w:val="Hyperlink"/>
    <w:basedOn w:val="DefaultParagraphFont"/>
    <w:uiPriority w:val="99"/>
    <w:unhideWhenUsed/>
    <w:rsid w:val="00D87CC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  <w:tblStylePr w:type="nwCell">
      <w:tblPr/>
      <w:tcPr>
  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  <w:tblStylePr w:type="nwCell">
      <w:tblPr/>
      <w:tcPr>
  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  <w:tblStylePr w:type="nwCell">
      <w:tblPr/>
      <w:tcPr>
  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  <w:tblStylePr w:type="nwCell">
      <w:tblPr/>
      <w:tcPr>
  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  <w:tblStylePr w:type="nwCell">
      <w:tblPr/>
      <w:tcPr>
  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  <w:tblStylePr w:type="nwCell">
      <w:tblPr/>
      <w:tcPr>
  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  <w:tblStylePr w:type="nwCell">
      <w:tblPr/>
      <w:tcPr>
  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inkedin.com/in/xinran-fang-69095434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 Version="6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5384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Xinran Fang Service and Experience Designer CV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SuperdocVersion" fmtid="{D5CDD505-2E9C-101B-9397-08002B2CF9AE}" pid="2">
    <vt:lpwstr>1.46.1</vt:lpwstr>
  </property>
  <property name="SuperdocDocumentOrigin" fmtid="{D5CDD505-2E9C-101B-9397-08002B2CF9AE}" pid="3">
    <vt:lpwstr>unknown</vt:lpwstr>
  </property>
  <property name="DocumentGuid" fmtid="{D5CDD505-2E9C-101B-9397-08002B2CF9AE}" pid="4">
    <vt:lpwstr>cd90dafd-6c98-48ca-9673-067a3889e492</vt:lpwstr>
  </property>
</Properties>
</file>